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BE0C01">
        <w:rPr>
          <w:b/>
          <w:i/>
          <w:sz w:val="28"/>
        </w:rPr>
        <w:t>03025</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pPr>
              <w:pStyle w:val="CRCoverPage"/>
              <w:spacing w:after="0"/>
              <w:rPr>
                <w:b/>
                <w:sz w:val="28"/>
              </w:rPr>
            </w:pPr>
            <w:r>
              <w:rPr>
                <w:b/>
                <w:sz w:val="28"/>
              </w:rPr>
              <w:t>38.306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BE0C01">
            <w:pPr>
              <w:pStyle w:val="CRCoverPage"/>
              <w:spacing w:after="0"/>
              <w:rPr>
                <w:b/>
                <w:sz w:val="28"/>
                <w:szCs w:val="28"/>
              </w:rPr>
            </w:pPr>
            <w:r>
              <w:rPr>
                <w:b/>
                <w:sz w:val="28"/>
                <w:szCs w:val="28"/>
              </w:rPr>
              <w:t>0544</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8E65AE">
            <w:pPr>
              <w:pStyle w:val="CRCoverPage"/>
              <w:spacing w:after="0"/>
              <w:jc w:val="center"/>
              <w:rPr>
                <w:b/>
              </w:rPr>
            </w:pPr>
            <w:r>
              <w:rPr>
                <w:rFonts w:eastAsia="宋体"/>
                <w:b/>
                <w:sz w:val="28"/>
                <w:lang w:val="en-US" w:eastAsia="zh-CN"/>
              </w:rPr>
              <w:t>-</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B6738B" w:rsidP="00BE0C01">
            <w:pPr>
              <w:pStyle w:val="CRCoverPage"/>
              <w:spacing w:after="0"/>
              <w:jc w:val="center"/>
            </w:pPr>
            <w:r>
              <w:rPr>
                <w:b/>
                <w:sz w:val="28"/>
              </w:rPr>
              <w:t>15.1</w:t>
            </w:r>
            <w:r w:rsidR="00BE0C01">
              <w:rPr>
                <w:b/>
                <w:sz w:val="28"/>
              </w:rPr>
              <w:t>3</w:t>
            </w:r>
            <w:r>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8E65AE">
            <w:pPr>
              <w:pStyle w:val="CRCoverPage"/>
              <w:spacing w:after="0"/>
              <w:ind w:left="100"/>
              <w:rPr>
                <w:rFonts w:eastAsia="Malgun Gothic"/>
              </w:rPr>
            </w:pPr>
            <w:r>
              <w:t xml:space="preserve">CR </w:t>
            </w:r>
            <w:r w:rsidR="008E65AE">
              <w:t>on</w:t>
            </w:r>
            <w:r>
              <w:t xml:space="preserve"> UE capability in case of Cross-Carrier operation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8E65AE">
            <w:pPr>
              <w:pStyle w:val="CRCoverPage"/>
              <w:spacing w:after="0"/>
              <w:ind w:left="100"/>
            </w:pPr>
            <w:r>
              <w:t>ZTE Corporation, Sanechips</w:t>
            </w:r>
            <w:r w:rsidR="00623E41">
              <w:t>, Ericsson</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8E65AE">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04-02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B6738B">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pPr>
              <w:pStyle w:val="CRCoverPage"/>
              <w:spacing w:after="0"/>
              <w:ind w:left="100"/>
            </w:pPr>
            <w:r>
              <w:t>Rel-15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before="120"/>
              <w:jc w:val="both"/>
              <w:rPr>
                <w:rFonts w:cs="Arial"/>
              </w:rPr>
            </w:pPr>
            <w:r>
              <w:rPr>
                <w:rFonts w:cs="Arial"/>
              </w:rPr>
              <w:t xml:space="preserve">RAN1 has </w:t>
            </w:r>
            <w:r w:rsidR="0088698D">
              <w:rPr>
                <w:rFonts w:cs="Arial"/>
              </w:rPr>
              <w:t xml:space="preserve">further </w:t>
            </w:r>
            <w:r>
              <w:rPr>
                <w:rFonts w:cs="Arial"/>
              </w:rPr>
              <w:t xml:space="preserve">discussed the </w:t>
            </w:r>
            <w:r w:rsidR="0088698D">
              <w:rPr>
                <w:rFonts w:cs="Arial"/>
              </w:rPr>
              <w:t xml:space="preserve">ambiguity </w:t>
            </w:r>
            <w:r>
              <w:rPr>
                <w:rFonts w:cs="Arial"/>
              </w:rPr>
              <w:t>issue</w:t>
            </w:r>
            <w:r w:rsidR="0088698D">
              <w:rPr>
                <w:rFonts w:cs="Arial"/>
              </w:rPr>
              <w:t xml:space="preserve"> on how to interpret UE capability in case of Cross-Carrier operation,</w:t>
            </w:r>
            <w:r>
              <w:rPr>
                <w:rFonts w:cs="Arial"/>
              </w:rPr>
              <w:t xml:space="preserve"> and appr</w:t>
            </w:r>
            <w:r w:rsidR="00AA115E">
              <w:rPr>
                <w:rFonts w:cs="Arial"/>
              </w:rPr>
              <w:t>oved the LS (R1-2102085</w:t>
            </w:r>
            <w:r>
              <w:rPr>
                <w:rFonts w:cs="Arial"/>
              </w:rPr>
              <w:t>) after RAN1 #10</w:t>
            </w:r>
            <w:r w:rsidR="00AA115E">
              <w:rPr>
                <w:rFonts w:cs="Arial"/>
              </w:rPr>
              <w:t>4</w:t>
            </w:r>
            <w:r>
              <w:rPr>
                <w:rFonts w:cs="Arial"/>
              </w:rPr>
              <w:t>e meeting,</w:t>
            </w:r>
            <w:r w:rsidR="00AA115E">
              <w:rPr>
                <w:rFonts w:cs="Arial"/>
              </w:rPr>
              <w:t xml:space="preserve"> t</w:t>
            </w:r>
            <w:r w:rsidR="0088698D">
              <w:rPr>
                <w:rFonts w:cs="Arial"/>
              </w:rPr>
              <w:t>he corresponding RAN1 agreement</w:t>
            </w:r>
            <w:r>
              <w:rPr>
                <w:rFonts w:cs="Arial"/>
              </w:rPr>
              <w:t xml:space="preserve"> is given below:</w:t>
            </w:r>
          </w:p>
          <w:tbl>
            <w:tblPr>
              <w:tblStyle w:val="af1"/>
              <w:tblW w:w="0" w:type="auto"/>
              <w:tblLayout w:type="fixed"/>
              <w:tblLook w:val="04A0" w:firstRow="1" w:lastRow="0" w:firstColumn="1" w:lastColumn="0" w:noHBand="0" w:noVBand="1"/>
            </w:tblPr>
            <w:tblGrid>
              <w:gridCol w:w="7279"/>
            </w:tblGrid>
            <w:tr w:rsidR="00AA115E" w:rsidTr="00AA115E">
              <w:tc>
                <w:tcPr>
                  <w:tcW w:w="7279" w:type="dxa"/>
                  <w:shd w:val="clear" w:color="auto" w:fill="auto"/>
                </w:tcPr>
                <w:p w:rsidR="00AA115E" w:rsidRPr="00AA115E" w:rsidRDefault="00AA115E" w:rsidP="00BE0C01">
                  <w:pPr>
                    <w:framePr w:hSpace="180" w:wrap="around" w:vAnchor="text" w:hAnchor="text" w:x="42" w:y="1"/>
                    <w:overflowPunct/>
                    <w:autoSpaceDE/>
                    <w:autoSpaceDN/>
                    <w:adjustRightInd/>
                    <w:spacing w:after="0" w:line="240" w:lineRule="auto"/>
                    <w:suppressOverlap/>
                    <w:textAlignment w:val="auto"/>
                    <w:rPr>
                      <w:rFonts w:ascii="Gulim" w:eastAsia="Gulim" w:hAnsi="宋体" w:cs="宋体"/>
                      <w:color w:val="000000"/>
                      <w:sz w:val="24"/>
                      <w:szCs w:val="24"/>
                      <w:lang w:val="en-US" w:eastAsia="zh-CN"/>
                    </w:rPr>
                  </w:pPr>
                  <w:r w:rsidRPr="00AA115E">
                    <w:rPr>
                      <w:rFonts w:ascii="Arial" w:eastAsia="Gulim" w:hAnsi="Arial" w:cs="Arial"/>
                      <w:b/>
                      <w:bCs/>
                      <w:color w:val="1F497D"/>
                      <w:highlight w:val="green"/>
                      <w:lang w:val="en-US" w:eastAsia="zh-CN"/>
                    </w:rPr>
                    <w:t>Agreement</w:t>
                  </w:r>
                </w:p>
                <w:p w:rsidR="00AA115E" w:rsidRPr="00AA115E" w:rsidRDefault="00AA115E" w:rsidP="00BE0C01">
                  <w:pPr>
                    <w:framePr w:hSpace="180" w:wrap="around" w:vAnchor="text" w:hAnchor="text" w:x="42" w:y="1"/>
                    <w:overflowPunct/>
                    <w:autoSpaceDE/>
                    <w:autoSpaceDN/>
                    <w:adjustRightInd/>
                    <w:spacing w:after="120" w:line="240" w:lineRule="auto"/>
                    <w:suppressOverlap/>
                    <w:textAlignment w:val="auto"/>
                    <w:rPr>
                      <w:rFonts w:ascii="Gulim" w:eastAsia="Gulim" w:hAnsi="宋体" w:cs="宋体"/>
                      <w:color w:val="000000"/>
                      <w:szCs w:val="24"/>
                      <w:lang w:val="en-US" w:eastAsia="zh-CN"/>
                    </w:rPr>
                  </w:pPr>
                  <w:r w:rsidRPr="00AA115E">
                    <w:rPr>
                      <w:rFonts w:ascii="Arial" w:eastAsia="Gulim" w:hAnsi="Arial" w:cs="Arial"/>
                      <w:color w:val="000000"/>
                      <w:sz w:val="20"/>
                      <w:lang w:val="en-US" w:eastAsia="zh-CN"/>
                    </w:rPr>
                    <w:t>Regarding the interpretation of UE capabilities in case of cross-carrier operation, </w:t>
                  </w:r>
                  <w:r w:rsidRPr="00AA115E">
                    <w:rPr>
                      <w:rFonts w:ascii="Arial" w:eastAsia="Gulim" w:hAnsi="Arial" w:cs="Arial"/>
                      <w:bCs/>
                      <w:color w:val="000000"/>
                      <w:sz w:val="20"/>
                      <w:lang w:val="en-US" w:eastAsia="zh-CN"/>
                    </w:rPr>
                    <w:t>for cross-carrier scheduling with the same SCS in the scheduling cell and the scheduled cell</w:t>
                  </w:r>
                  <w:r w:rsidRPr="00AA115E">
                    <w:rPr>
                      <w:rFonts w:ascii="Arial" w:eastAsia="Gulim" w:hAnsi="Arial" w:cs="Arial"/>
                      <w:color w:val="000000"/>
                      <w:sz w:val="20"/>
                      <w:lang w:val="en-US" w:eastAsia="zh-CN"/>
                    </w:rPr>
                    <w:t>, RAN1 clarifies that support of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is based on both the support of this capability for the band of the scheduled/triggered/indicated cell and the support of this capability for the band of the scheduling/triggering/indicating cell.</w:t>
                  </w:r>
                </w:p>
                <w:p w:rsidR="00AA115E" w:rsidRPr="00AA115E" w:rsidRDefault="00AA115E" w:rsidP="00BE0C01">
                  <w:pPr>
                    <w:framePr w:hSpace="180" w:wrap="around" w:vAnchor="text" w:hAnchor="text" w:x="42" w:y="1"/>
                    <w:overflowPunct/>
                    <w:autoSpaceDE/>
                    <w:autoSpaceDN/>
                    <w:adjustRightInd/>
                    <w:spacing w:after="120" w:line="240" w:lineRule="auto"/>
                    <w:ind w:left="800" w:hanging="400"/>
                    <w:suppressOverlap/>
                    <w:textAlignment w:val="auto"/>
                    <w:rPr>
                      <w:rFonts w:ascii="Gulim" w:eastAsia="Gulim" w:hAnsi="宋体" w:cs="宋体"/>
                      <w:color w:val="000000"/>
                      <w:sz w:val="24"/>
                      <w:szCs w:val="24"/>
                      <w:lang w:val="en-US" w:eastAsia="zh-CN"/>
                    </w:rPr>
                  </w:pPr>
                  <w:r w:rsidRPr="00AA115E">
                    <w:rPr>
                      <w:rFonts w:ascii="Wingdings" w:eastAsia="Gulim" w:hAnsi="Wingdings" w:cs="宋体"/>
                      <w:color w:val="000000"/>
                      <w:sz w:val="20"/>
                      <w:lang w:val="en-US" w:eastAsia="zh-CN"/>
                    </w:rPr>
                    <w:t></w:t>
                  </w:r>
                  <w:r w:rsidRPr="00AA115E">
                    <w:rPr>
                      <w:rFonts w:eastAsia="Gulim"/>
                      <w:color w:val="000000"/>
                      <w:sz w:val="12"/>
                      <w:szCs w:val="14"/>
                      <w:lang w:val="en-US" w:eastAsia="zh-CN"/>
                    </w:rPr>
                    <w:t>  </w:t>
                  </w:r>
                  <w:r w:rsidRPr="00AA115E">
                    <w:rPr>
                      <w:rFonts w:ascii="Arial" w:eastAsia="Gulim" w:hAnsi="Arial" w:cs="Arial"/>
                      <w:color w:val="000000"/>
                      <w:sz w:val="20"/>
                      <w:lang w:val="en-US" w:eastAsia="zh-CN"/>
                    </w:rPr>
                    <w:t>Note: For </w:t>
                  </w:r>
                  <w:r w:rsidRPr="00AA115E">
                    <w:rPr>
                      <w:rFonts w:ascii="Arial" w:eastAsia="Gulim" w:hAnsi="Arial" w:cs="Arial"/>
                      <w:i/>
                      <w:iCs/>
                      <w:color w:val="000000"/>
                      <w:sz w:val="20"/>
                      <w:lang w:val="en-US" w:eastAsia="zh-CN"/>
                    </w:rPr>
                    <w:t>pdcch-MonitoringAnyOccasionsWithSpanGap</w:t>
                  </w:r>
                  <w:r w:rsidRPr="00AA115E">
                    <w:rPr>
                      <w:rFonts w:ascii="Arial" w:eastAsia="Gulim" w:hAnsi="Arial" w:cs="Arial"/>
                      <w:color w:val="000000"/>
                      <w:sz w:val="20"/>
                      <w:lang w:val="en-US" w:eastAsia="zh-CN"/>
                    </w:rPr>
                    <w:t>, the supported set (set1, set2 or set 3) for cross-carrier scheduling with the same SCS in the scheduling cell and the scheduled cell is still based on the indicated value for the band of the scheduling cell. </w:t>
                  </w:r>
                </w:p>
              </w:tc>
            </w:tr>
          </w:tbl>
          <w:p w:rsidR="00AA115E" w:rsidRDefault="0088698D">
            <w:pPr>
              <w:pStyle w:val="CRCoverPage"/>
              <w:spacing w:before="120"/>
              <w:jc w:val="both"/>
              <w:rPr>
                <w:rFonts w:cs="Arial"/>
              </w:rPr>
            </w:pPr>
            <w:r>
              <w:rPr>
                <w:rFonts w:cs="Arial"/>
              </w:rPr>
              <w:t>The ASN.1 of pdcch-MonitoringAnyOccasionsWithSpanGap is:</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pdcch-MonitoringAnyOccasionsWithSpanGap </w:t>
            </w:r>
            <w:r w:rsidRPr="00AA115E">
              <w:rPr>
                <w:rFonts w:ascii="Courier New" w:hAnsi="Courier New"/>
                <w:noProof/>
                <w:color w:val="993366"/>
                <w:sz w:val="16"/>
                <w:lang w:eastAsia="en-GB"/>
              </w:rPr>
              <w:t>SEQUENCE</w:t>
            </w:r>
            <w:r w:rsidRPr="00AA115E">
              <w:rPr>
                <w:rFonts w:ascii="Courier New" w:hAnsi="Courier New"/>
                <w:noProof/>
                <w:sz w:val="16"/>
                <w:lang w:eastAsia="en-GB"/>
              </w:rPr>
              <w:t xml:space="preserve"> {</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scs-15kHz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scs-30kHz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scs-60kHz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scs-120kHz            </w:t>
            </w:r>
            <w:r w:rsidRPr="00AA115E">
              <w:rPr>
                <w:rFonts w:ascii="Courier New" w:hAnsi="Courier New"/>
                <w:noProof/>
                <w:color w:val="993366"/>
                <w:sz w:val="16"/>
                <w:lang w:eastAsia="en-GB"/>
              </w:rPr>
              <w:t>ENUMERATED</w:t>
            </w:r>
            <w:r w:rsidRPr="00AA115E">
              <w:rPr>
                <w:rFonts w:ascii="Courier New" w:hAnsi="Courier New"/>
                <w:noProof/>
                <w:sz w:val="16"/>
                <w:lang w:eastAsia="en-GB"/>
              </w:rPr>
              <w:t xml:space="preserve"> {set1, set2, set3}  </w:t>
            </w:r>
            <w:r w:rsidRPr="00AA115E">
              <w:rPr>
                <w:rFonts w:ascii="Courier New" w:hAnsi="Courier New"/>
                <w:noProof/>
                <w:color w:val="993366"/>
                <w:sz w:val="16"/>
                <w:lang w:eastAsia="en-GB"/>
              </w:rPr>
              <w:t>OPTIONAL</w:t>
            </w:r>
          </w:p>
          <w:p w:rsidR="00AA115E" w:rsidRPr="00AA115E" w:rsidRDefault="00AA115E" w:rsidP="00AA1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A115E">
              <w:rPr>
                <w:rFonts w:ascii="Courier New" w:hAnsi="Courier New"/>
                <w:noProof/>
                <w:sz w:val="16"/>
                <w:lang w:eastAsia="en-GB"/>
              </w:rPr>
              <w:t xml:space="preserve">    } </w:t>
            </w:r>
            <w:r>
              <w:rPr>
                <w:rFonts w:ascii="Courier New" w:hAnsi="Courier New"/>
                <w:noProof/>
                <w:sz w:val="16"/>
                <w:lang w:eastAsia="en-GB"/>
              </w:rPr>
              <w:t xml:space="preserve">                       </w:t>
            </w:r>
            <w:r w:rsidRPr="00AA115E">
              <w:rPr>
                <w:rFonts w:ascii="Courier New" w:hAnsi="Courier New"/>
                <w:noProof/>
                <w:sz w:val="16"/>
                <w:lang w:eastAsia="en-GB"/>
              </w:rPr>
              <w:t xml:space="preserve">                                </w:t>
            </w:r>
            <w:r w:rsidRPr="00AA115E">
              <w:rPr>
                <w:rFonts w:ascii="Courier New" w:hAnsi="Courier New"/>
                <w:noProof/>
                <w:color w:val="993366"/>
                <w:sz w:val="16"/>
                <w:lang w:eastAsia="en-GB"/>
              </w:rPr>
              <w:t>OPTIONAL</w:t>
            </w:r>
            <w:r w:rsidRPr="00AA115E">
              <w:rPr>
                <w:rFonts w:ascii="Courier New" w:hAnsi="Courier New"/>
                <w:noProof/>
                <w:sz w:val="16"/>
                <w:lang w:eastAsia="en-GB"/>
              </w:rPr>
              <w:t>,</w:t>
            </w:r>
          </w:p>
          <w:p w:rsidR="00FD15ED" w:rsidRPr="00FD15ED" w:rsidRDefault="005853BB" w:rsidP="00FD15ED">
            <w:pPr>
              <w:pStyle w:val="CRCoverPage"/>
              <w:spacing w:before="120"/>
              <w:jc w:val="both"/>
              <w:rPr>
                <w:rFonts w:cs="Arial"/>
              </w:rPr>
            </w:pPr>
            <w:r>
              <w:rPr>
                <w:rFonts w:cs="Arial"/>
              </w:rPr>
              <w:t>This CR is to capture above RAN1 agreement into TS 38.306</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C20859" w:rsidRDefault="00B6738B">
            <w:pPr>
              <w:pStyle w:val="CRCoverPage"/>
              <w:numPr>
                <w:ilvl w:val="0"/>
                <w:numId w:val="3"/>
              </w:numPr>
              <w:spacing w:after="0"/>
              <w:rPr>
                <w:b/>
              </w:rPr>
            </w:pPr>
            <w:r>
              <w:rPr>
                <w:rFonts w:eastAsia="宋体"/>
                <w:iCs/>
                <w:lang w:val="en-US" w:eastAsia="zh-CN"/>
              </w:rPr>
              <w:t xml:space="preserve">Add </w:t>
            </w:r>
            <w:r w:rsidR="005853BB">
              <w:rPr>
                <w:rFonts w:eastAsia="宋体"/>
                <w:iCs/>
                <w:lang w:val="en-US" w:eastAsia="zh-CN"/>
              </w:rPr>
              <w:t>pdcch-MonitoringAnyOccasionsWithSpanGap to</w:t>
            </w:r>
            <w:r>
              <w:rPr>
                <w:rFonts w:eastAsia="宋体"/>
                <w:iCs/>
                <w:lang w:val="en-US" w:eastAsia="zh-CN"/>
              </w:rPr>
              <w:t xml:space="preserve"> “Annex A.</w:t>
            </w:r>
            <w:r w:rsidR="005853BB">
              <w:rPr>
                <w:rFonts w:eastAsia="宋体"/>
                <w:iCs/>
                <w:lang w:val="en-US" w:eastAsia="zh-CN"/>
              </w:rPr>
              <w:t>5</w:t>
            </w:r>
            <w:r>
              <w:rPr>
                <w:rFonts w:eastAsia="宋体"/>
                <w:iCs/>
                <w:lang w:val="en-US" w:eastAsia="zh-CN"/>
              </w:rPr>
              <w:t xml:space="preserve"> General differentiation of capabilities in cross-carrier operation”.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B6738B">
            <w:pPr>
              <w:pStyle w:val="CRCoverPage"/>
              <w:spacing w:after="0"/>
              <w:rPr>
                <w:lang w:eastAsia="zh-CN"/>
              </w:rPr>
            </w:pPr>
            <w:r>
              <w:rPr>
                <w:lang w:eastAsia="zh-CN"/>
              </w:rPr>
              <w:t>NR SA, (NG)EN-DC, NE-DC, NR-DC</w:t>
            </w:r>
          </w:p>
          <w:p w:rsidR="00C20859" w:rsidRDefault="00C20859">
            <w:pPr>
              <w:pStyle w:val="CRCoverPage"/>
              <w:spacing w:after="0"/>
              <w:rPr>
                <w:u w:val="single"/>
              </w:rPr>
            </w:pPr>
          </w:p>
          <w:p w:rsidR="00C20859" w:rsidRDefault="00B6738B">
            <w:pPr>
              <w:pStyle w:val="CRCoverPage"/>
              <w:spacing w:after="0"/>
            </w:pPr>
            <w:r>
              <w:rPr>
                <w:u w:val="single"/>
              </w:rPr>
              <w:t>Impacted functionality</w:t>
            </w:r>
            <w:r>
              <w:t>:</w:t>
            </w:r>
          </w:p>
          <w:p w:rsidR="00C20859" w:rsidRDefault="00B6738B">
            <w:pPr>
              <w:pStyle w:val="CRCoverPage"/>
              <w:spacing w:after="0"/>
              <w:rPr>
                <w:rFonts w:eastAsia="Malgun Gothic"/>
              </w:rPr>
            </w:pPr>
            <w:r>
              <w:rPr>
                <w:rFonts w:eastAsia="Malgun Gothic"/>
              </w:rPr>
              <w:t>Cross-carrier operation</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C20859" w:rsidRDefault="00B6738B" w:rsidP="005853BB">
            <w:pPr>
              <w:pStyle w:val="CRCoverPage"/>
              <w:spacing w:after="0"/>
              <w:rPr>
                <w:lang w:val="en-US"/>
              </w:rPr>
            </w:pPr>
            <w:r>
              <w:t xml:space="preserve">In case UE reports different capability values for the band of </w:t>
            </w:r>
            <w:r w:rsidR="005853BB">
              <w:t>scheduling cell and scheduled cell</w:t>
            </w:r>
            <w:r>
              <w:t>, it is unclear which capability value should be considered when network wants to enable the functionality in cross-carrier operation.</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B6738B">
            <w:pPr>
              <w:pStyle w:val="CRCoverPage"/>
              <w:spacing w:after="0"/>
              <w:ind w:left="100"/>
              <w:rPr>
                <w:rFonts w:eastAsia="宋体"/>
                <w:lang w:val="en-US" w:eastAsia="zh-CN"/>
              </w:rPr>
            </w:pPr>
            <w:r>
              <w:rPr>
                <w:rFonts w:eastAsia="宋体"/>
                <w:lang w:val="en-US" w:eastAsia="zh-CN"/>
              </w:rPr>
              <w:t>Annex</w:t>
            </w:r>
            <w:r w:rsidR="005853BB">
              <w:rPr>
                <w:rFonts w:eastAsia="宋体"/>
                <w:lang w:val="en-US" w:eastAsia="zh-CN"/>
              </w:rPr>
              <w:t xml:space="preserve"> A.5</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0" w:name="OLE_LINK185"/>
      <w:bookmarkStart w:id="1"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444287"/>
      <w:bookmarkStart w:id="3" w:name="_Toc46439450"/>
      <w:bookmarkStart w:id="4" w:name="_Toc46487048"/>
      <w:bookmarkStart w:id="5" w:name="_Toc29321325"/>
      <w:bookmarkStart w:id="6" w:name="_Toc46440015"/>
      <w:bookmarkStart w:id="7" w:name="_Toc20426186"/>
      <w:bookmarkStart w:id="8" w:name="_Toc20425929"/>
      <w:bookmarkStart w:id="9" w:name="_Toc46444317"/>
      <w:bookmarkStart w:id="10" w:name="_Toc29321583"/>
      <w:bookmarkStart w:id="11" w:name="_Toc36513604"/>
      <w:bookmarkStart w:id="12" w:name="_Toc36220184"/>
      <w:bookmarkStart w:id="13" w:name="_Toc46487613"/>
      <w:bookmarkStart w:id="14" w:name="_Toc46439480"/>
      <w:bookmarkStart w:id="15" w:name="_Toc29321541"/>
      <w:bookmarkStart w:id="16" w:name="_Toc36219508"/>
      <w:bookmarkStart w:id="17" w:name="_Toc46444852"/>
      <w:bookmarkStart w:id="18" w:name="_Toc46487078"/>
      <w:bookmarkStart w:id="19" w:name="_Toc20426144"/>
      <w:bookmarkStart w:id="20" w:name="_Toc12750885"/>
      <w:bookmarkStart w:id="21" w:name="_Toc510018651"/>
      <w:bookmarkStart w:id="22" w:name="_Toc12718085"/>
      <w:bookmarkStart w:id="23" w:name="_Toc12718083"/>
      <w:bookmarkStart w:id="24" w:name="_Toc510018698"/>
      <w:bookmarkStart w:id="25" w:name="_Toc535261536"/>
      <w:bookmarkStart w:id="26" w:name="_Toc12718435"/>
      <w:bookmarkStart w:id="27" w:name="_Toc12718472"/>
      <w:bookmarkStart w:id="28" w:name="_Hlk726506"/>
      <w:bookmarkStart w:id="29" w:name="_Toc535261633"/>
      <w:bookmarkStart w:id="30" w:name="_Toc5285381"/>
      <w:bookmarkEnd w:id="0"/>
      <w:bookmarkEnd w:id="1"/>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BE0C01" w:rsidRPr="00BE0C01" w:rsidRDefault="00BE0C01" w:rsidP="00BE0C01">
      <w:pPr>
        <w:keepNext/>
        <w:keepLines/>
        <w:pBdr>
          <w:top w:val="single" w:sz="12" w:space="3" w:color="auto"/>
        </w:pBdr>
        <w:spacing w:before="240" w:line="240" w:lineRule="auto"/>
        <w:ind w:left="1134" w:hanging="1134"/>
        <w:outlineLvl w:val="0"/>
        <w:rPr>
          <w:rFonts w:ascii="Arial" w:hAnsi="Arial"/>
          <w:sz w:val="36"/>
        </w:rPr>
      </w:pPr>
      <w:bookmarkStart w:id="31" w:name="_Toc60789356"/>
      <w:bookmarkStart w:id="32" w:name="_Toc67918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E0C01">
        <w:rPr>
          <w:rFonts w:ascii="Arial" w:hAnsi="Arial"/>
          <w:sz w:val="36"/>
        </w:rPr>
        <w:t>Annex A.5:</w:t>
      </w:r>
      <w:r w:rsidRPr="00BE0C01">
        <w:rPr>
          <w:rFonts w:ascii="Arial" w:hAnsi="Arial"/>
          <w:sz w:val="36"/>
        </w:rPr>
        <w:tab/>
        <w:t>General differentiation of capabilities in Cross-Carrier operation</w:t>
      </w:r>
      <w:bookmarkEnd w:id="32"/>
    </w:p>
    <w:p w:rsidR="00BE0C01" w:rsidRPr="00BE0C01" w:rsidRDefault="00BE0C01" w:rsidP="00BE0C01">
      <w:pPr>
        <w:spacing w:line="240" w:lineRule="auto"/>
        <w:rPr>
          <w:lang w:eastAsia="ko-KR"/>
        </w:rPr>
      </w:pPr>
      <w:r w:rsidRPr="00BE0C01">
        <w:t>Annex A.5 specifies for which multiple serving cells a UE supporting cross-carrier operation shall support a feature</w:t>
      </w:r>
      <w:r w:rsidRPr="00BE0C01">
        <w:rPr>
          <w:lang w:eastAsia="ko-KR"/>
        </w:rPr>
        <w:t>/capability</w:t>
      </w:r>
      <w:r w:rsidRPr="00BE0C01">
        <w:t xml:space="preserve"> for which it indicates support within the capability signalling</w:t>
      </w:r>
      <w:r w:rsidRPr="00BE0C01">
        <w:rPr>
          <w:lang w:eastAsia="ko-KR"/>
        </w:rPr>
        <w:t>.</w:t>
      </w:r>
    </w:p>
    <w:p w:rsidR="00BE0C01" w:rsidRPr="00BE0C01" w:rsidRDefault="00BE0C01" w:rsidP="00BE0C01">
      <w:pPr>
        <w:spacing w:line="240" w:lineRule="auto"/>
        <w:rPr>
          <w:lang w:eastAsia="ko-KR"/>
        </w:rPr>
      </w:pPr>
      <w:r w:rsidRPr="00BE0C01">
        <w:rPr>
          <w:lang w:eastAsia="ko-KR"/>
        </w:rPr>
        <w:t>A UE that indicates support for cross-carrier operation in CA (e.g. MCG or SCG):</w:t>
      </w:r>
    </w:p>
    <w:p w:rsidR="00BE0C01" w:rsidRPr="00BE0C01" w:rsidRDefault="00BE0C01" w:rsidP="00BE0C01">
      <w:pPr>
        <w:spacing w:line="240" w:lineRule="auto"/>
        <w:ind w:left="568" w:hanging="284"/>
      </w:pPr>
      <w:r w:rsidRPr="00BE0C01">
        <w:t>-</w:t>
      </w:r>
      <w:r w:rsidRPr="00BE0C01">
        <w:tab/>
        <w:t>For the fields for which the UE is allowed to indicate different support for different bands, the UE shall support the feature on the PCell and/or SCell(s) in cross-carrier operation, as specified in tables A.5-1 in accordance to the following rules:</w:t>
      </w:r>
    </w:p>
    <w:p w:rsidR="00BE0C01" w:rsidRPr="00BE0C01" w:rsidRDefault="00BE0C01" w:rsidP="00BE0C01">
      <w:pPr>
        <w:spacing w:line="240" w:lineRule="auto"/>
        <w:ind w:left="851" w:hanging="284"/>
      </w:pPr>
      <w:r w:rsidRPr="00BE0C01">
        <w:t>-</w:t>
      </w:r>
      <w:r w:rsidRPr="00BE0C01">
        <w:tab/>
        <w:t>Triggered serving cell: the UE shall support the feature if the UE indicates support of the feature for the band of the scheduled/triggered/indicated serving cell;</w:t>
      </w:r>
    </w:p>
    <w:p w:rsidR="00BE0C01" w:rsidRPr="00BE0C01" w:rsidRDefault="00BE0C01" w:rsidP="00BE0C01">
      <w:pPr>
        <w:spacing w:line="240" w:lineRule="auto"/>
        <w:ind w:left="851" w:hanging="284"/>
      </w:pPr>
      <w:r w:rsidRPr="00BE0C01">
        <w:t>-</w:t>
      </w:r>
      <w:r w:rsidRPr="00BE0C01">
        <w:tab/>
        <w:t>Triggering&amp;Triggered serving cells: UE shall support the feature if the UE indicates support of the feature for the band of both the scheduling/triggering/indicating serving cell and the scheduled/triggered/indicated serving cell;</w:t>
      </w:r>
    </w:p>
    <w:p w:rsidR="00BE0C01" w:rsidRPr="00BE0C01" w:rsidRDefault="00BE0C01" w:rsidP="00BE0C01">
      <w:pPr>
        <w:keepNext/>
        <w:keepLines/>
        <w:spacing w:before="60" w:line="240" w:lineRule="auto"/>
        <w:jc w:val="center"/>
        <w:rPr>
          <w:rFonts w:ascii="Arial" w:hAnsi="Arial"/>
          <w:b/>
        </w:rPr>
      </w:pPr>
      <w:r w:rsidRPr="00BE0C01">
        <w:rPr>
          <w:rFonts w:ascii="Arial" w:hAnsi="Arial"/>
          <w:b/>
        </w:rP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BE0C01" w:rsidRPr="00BE0C01" w:rsidTr="00974023">
        <w:trPr>
          <w:jc w:val="center"/>
        </w:trPr>
        <w:tc>
          <w:tcPr>
            <w:tcW w:w="3927" w:type="dxa"/>
          </w:tcPr>
          <w:p w:rsidR="00BE0C01" w:rsidRPr="00BE0C01" w:rsidRDefault="00BE0C01" w:rsidP="00BE0C01">
            <w:pPr>
              <w:keepNext/>
              <w:keepLines/>
              <w:spacing w:after="0" w:line="240" w:lineRule="auto"/>
              <w:jc w:val="center"/>
              <w:rPr>
                <w:rFonts w:ascii="Arial" w:hAnsi="Arial"/>
                <w:b/>
                <w:sz w:val="18"/>
              </w:rPr>
            </w:pPr>
            <w:r w:rsidRPr="00BE0C01">
              <w:rPr>
                <w:rFonts w:ascii="Arial" w:hAnsi="Arial"/>
                <w:b/>
                <w:sz w:val="18"/>
              </w:rPr>
              <w:t>UE-NR-Capability</w:t>
            </w:r>
          </w:p>
        </w:tc>
        <w:tc>
          <w:tcPr>
            <w:tcW w:w="4006" w:type="dxa"/>
          </w:tcPr>
          <w:p w:rsidR="00BE0C01" w:rsidRPr="00BE0C01" w:rsidRDefault="00BE0C01" w:rsidP="00BE0C01">
            <w:pPr>
              <w:keepNext/>
              <w:keepLines/>
              <w:spacing w:after="0" w:line="240" w:lineRule="auto"/>
              <w:jc w:val="center"/>
              <w:rPr>
                <w:rFonts w:ascii="Arial" w:hAnsi="Arial"/>
                <w:b/>
                <w:sz w:val="18"/>
              </w:rPr>
            </w:pPr>
            <w:r w:rsidRPr="00BE0C01">
              <w:rPr>
                <w:rFonts w:ascii="Arial" w:hAnsi="Arial"/>
                <w:b/>
                <w:sz w:val="18"/>
              </w:rPr>
              <w:t>Classification</w:t>
            </w:r>
          </w:p>
        </w:tc>
      </w:tr>
      <w:tr w:rsidR="00BE0C01" w:rsidRPr="00BE0C01" w:rsidTr="00974023">
        <w:trPr>
          <w:jc w:val="center"/>
        </w:trPr>
        <w:tc>
          <w:tcPr>
            <w:tcW w:w="3927"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 xml:space="preserve">aperiodicTRS </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Triggered serving cell</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 xml:space="preserve">beamSwitchTiming </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Triggered serving cell</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bwp-DiffNumerology (NOTE 1)</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bwp-SameNumerology (NOTE 1)</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crossCarrierScheduling-SameSCS</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jc w:val="center"/>
          <w:ins w:id="33" w:author="ZTE" w:date="2021-04-02T02:47:00Z"/>
        </w:trPr>
        <w:tc>
          <w:tcPr>
            <w:tcW w:w="3927" w:type="dxa"/>
            <w:vAlign w:val="bottom"/>
          </w:tcPr>
          <w:p w:rsidR="00BE0C01" w:rsidRPr="00BE0C01" w:rsidRDefault="00BE0C01" w:rsidP="00BE0C01">
            <w:pPr>
              <w:keepNext/>
              <w:keepLines/>
              <w:spacing w:after="0" w:line="240" w:lineRule="auto"/>
              <w:rPr>
                <w:ins w:id="34" w:author="ZTE" w:date="2021-04-02T02:47:00Z"/>
                <w:rFonts w:ascii="Arial" w:hAnsi="Arial"/>
                <w:sz w:val="18"/>
              </w:rPr>
            </w:pPr>
            <w:ins w:id="35" w:author="ZTE" w:date="2021-04-02T02:47:00Z">
              <w:r>
                <w:rPr>
                  <w:rFonts w:ascii="Arial" w:hAnsi="Arial"/>
                  <w:sz w:val="18"/>
                </w:rPr>
                <w:t>pdcch-MonitoringAnyOccasionsWithSpanGap (NOTE2)</w:t>
              </w:r>
            </w:ins>
          </w:p>
        </w:tc>
        <w:tc>
          <w:tcPr>
            <w:tcW w:w="4006" w:type="dxa"/>
          </w:tcPr>
          <w:p w:rsidR="00BE0C01" w:rsidRPr="00BE0C01" w:rsidRDefault="00BE0C01" w:rsidP="00BE0C01">
            <w:pPr>
              <w:keepNext/>
              <w:keepLines/>
              <w:spacing w:after="0" w:line="240" w:lineRule="auto"/>
              <w:rPr>
                <w:ins w:id="36" w:author="ZTE" w:date="2021-04-02T02:47:00Z"/>
                <w:rFonts w:ascii="Arial" w:hAnsi="Arial"/>
                <w:sz w:val="18"/>
              </w:rPr>
            </w:pPr>
            <w:ins w:id="37" w:author="ZTE" w:date="2021-04-02T02:47:00Z">
              <w:r>
                <w:rPr>
                  <w:rFonts w:ascii="Arial" w:hAnsi="Arial"/>
                  <w:sz w:val="18"/>
                </w:rPr>
                <w:t>Triggering&amp;Triggered serving cells</w:t>
              </w:r>
            </w:ins>
          </w:p>
        </w:tc>
      </w:tr>
      <w:tr w:rsidR="00BE0C01" w:rsidRPr="00BE0C01" w:rsidTr="00974023">
        <w:trPr>
          <w:jc w:val="center"/>
        </w:trPr>
        <w:tc>
          <w:tcPr>
            <w:tcW w:w="3927" w:type="dxa"/>
            <w:vAlign w:val="bottom"/>
          </w:tcPr>
          <w:p w:rsidR="00BE0C01" w:rsidRPr="00BE0C01" w:rsidRDefault="00BE0C01" w:rsidP="00BE0C01">
            <w:pPr>
              <w:keepNext/>
              <w:keepLines/>
              <w:spacing w:after="0" w:line="240" w:lineRule="auto"/>
              <w:rPr>
                <w:rFonts w:ascii="Arial" w:hAnsi="Arial"/>
                <w:sz w:val="18"/>
              </w:rPr>
            </w:pPr>
            <w:r w:rsidRPr="00BE0C01">
              <w:rPr>
                <w:rFonts w:ascii="Arial" w:hAnsi="Arial"/>
                <w:sz w:val="18"/>
              </w:rPr>
              <w:t>ue-SpecificUL-DL-Assignment</w:t>
            </w:r>
          </w:p>
        </w:tc>
        <w:tc>
          <w:tcPr>
            <w:tcW w:w="4006" w:type="dxa"/>
          </w:tcPr>
          <w:p w:rsidR="00BE0C01" w:rsidRPr="00BE0C01" w:rsidRDefault="00BE0C01" w:rsidP="00BE0C01">
            <w:pPr>
              <w:keepNext/>
              <w:keepLines/>
              <w:spacing w:after="0" w:line="240" w:lineRule="auto"/>
              <w:rPr>
                <w:rFonts w:ascii="Arial" w:hAnsi="Arial"/>
                <w:sz w:val="18"/>
              </w:rPr>
            </w:pPr>
            <w:r w:rsidRPr="00BE0C01">
              <w:rPr>
                <w:rFonts w:ascii="Arial" w:hAnsi="Arial"/>
                <w:sz w:val="18"/>
              </w:rPr>
              <w:t>Triggering&amp;Triggered serving cells</w:t>
            </w:r>
          </w:p>
        </w:tc>
      </w:tr>
      <w:tr w:rsidR="00BE0C01" w:rsidRPr="00BE0C01" w:rsidTr="00974023">
        <w:trPr>
          <w:trHeight w:val="424"/>
          <w:jc w:val="center"/>
        </w:trPr>
        <w:tc>
          <w:tcPr>
            <w:tcW w:w="7933" w:type="dxa"/>
            <w:gridSpan w:val="2"/>
            <w:vAlign w:val="bottom"/>
          </w:tcPr>
          <w:p w:rsidR="00BE0C01" w:rsidRDefault="00BE0C01" w:rsidP="00BE0C01">
            <w:pPr>
              <w:keepNext/>
              <w:keepLines/>
              <w:spacing w:after="0" w:line="240" w:lineRule="auto"/>
              <w:ind w:left="851" w:hanging="851"/>
              <w:rPr>
                <w:ins w:id="38" w:author="ZTE" w:date="2021-04-02T02:47:00Z"/>
                <w:rFonts w:ascii="Arial" w:hAnsi="Arial"/>
                <w:sz w:val="18"/>
              </w:rPr>
            </w:pPr>
            <w:r w:rsidRPr="00BE0C01">
              <w:rPr>
                <w:rFonts w:ascii="Arial" w:hAnsi="Arial"/>
                <w:sz w:val="18"/>
              </w:rPr>
              <w:t>NOTE 1:</w:t>
            </w:r>
            <w:r w:rsidRPr="00BE0C01">
              <w:rPr>
                <w:rFonts w:ascii="Arial" w:hAnsi="Arial"/>
                <w:sz w:val="18"/>
              </w:rPr>
              <w:tab/>
              <w:t xml:space="preserve">For </w:t>
            </w:r>
            <w:r w:rsidRPr="00BE0C01">
              <w:rPr>
                <w:rFonts w:ascii="Arial" w:hAnsi="Arial"/>
                <w:i/>
                <w:sz w:val="18"/>
              </w:rPr>
              <w:t>bwp-DiffNumerology</w:t>
            </w:r>
            <w:r w:rsidRPr="00BE0C01">
              <w:rPr>
                <w:rFonts w:ascii="Arial" w:hAnsi="Arial"/>
                <w:sz w:val="18"/>
              </w:rPr>
              <w:t xml:space="preserve"> </w:t>
            </w:r>
            <w:r w:rsidRPr="00BE0C01">
              <w:rPr>
                <w:rFonts w:ascii="Arial" w:eastAsia="DengXian" w:hAnsi="Arial"/>
                <w:sz w:val="18"/>
              </w:rPr>
              <w:t>and</w:t>
            </w:r>
            <w:r w:rsidRPr="00BE0C01">
              <w:rPr>
                <w:rFonts w:ascii="Arial" w:hAnsi="Arial"/>
                <w:sz w:val="18"/>
              </w:rPr>
              <w:t xml:space="preserve"> </w:t>
            </w:r>
            <w:r w:rsidRPr="00BE0C01">
              <w:rPr>
                <w:rFonts w:ascii="Arial" w:hAnsi="Arial"/>
                <w:i/>
                <w:sz w:val="18"/>
              </w:rPr>
              <w:t>bwp-SameNumerology</w:t>
            </w:r>
            <w:r w:rsidRPr="00BE0C01">
              <w:rPr>
                <w:rFonts w:ascii="Arial" w:hAnsi="Arial"/>
                <w:sz w:val="18"/>
              </w:rPr>
              <w:t>, the supported number of BWPs for each band is still based on the indicated number for this band regardless of whether it is a scheduling cell or scheduled cell.</w:t>
            </w:r>
          </w:p>
          <w:p w:rsidR="00BE0C01" w:rsidRPr="00BE0C01" w:rsidRDefault="00BE0C01" w:rsidP="00BE0C01">
            <w:pPr>
              <w:keepNext/>
              <w:keepLines/>
              <w:spacing w:after="0" w:line="240" w:lineRule="auto"/>
              <w:ind w:left="851" w:hanging="851"/>
              <w:rPr>
                <w:rFonts w:ascii="Arial" w:eastAsia="DengXian" w:hAnsi="Arial"/>
                <w:sz w:val="18"/>
              </w:rPr>
            </w:pPr>
            <w:ins w:id="39" w:author="ZTE" w:date="2021-04-02T02:47:00Z">
              <w:r w:rsidRPr="00BE0C01">
                <w:rPr>
                  <w:rFonts w:ascii="Arial" w:eastAsia="DengXian" w:hAnsi="Arial"/>
                  <w:sz w:val="18"/>
                </w:rPr>
                <w:t xml:space="preserve">NOTE 2: </w:t>
              </w:r>
              <w:r w:rsidRPr="00BE0C01">
                <w:rPr>
                  <w:rFonts w:ascii="Arial" w:eastAsia="DengXian" w:hAnsi="Arial"/>
                  <w:sz w:val="18"/>
                </w:rPr>
                <w:tab/>
                <w:t>Only 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ins>
          </w:p>
        </w:tc>
      </w:tr>
    </w:tbl>
    <w:p w:rsidR="00087845" w:rsidRPr="00087845" w:rsidRDefault="00087845" w:rsidP="00087845">
      <w:pPr>
        <w:spacing w:line="240" w:lineRule="auto"/>
      </w:pPr>
      <w:bookmarkStart w:id="40" w:name="_GoBack"/>
      <w:bookmarkEnd w:id="31"/>
      <w:bookmarkEnd w:id="40"/>
    </w:p>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p>
    <w:sectPr w:rsidR="00C20859">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582" w:rsidRDefault="00C77582">
      <w:pPr>
        <w:spacing w:after="0" w:line="240" w:lineRule="auto"/>
      </w:pPr>
      <w:r>
        <w:separator/>
      </w:r>
    </w:p>
  </w:endnote>
  <w:endnote w:type="continuationSeparator" w:id="0">
    <w:p w:rsidR="00C77582" w:rsidRDefault="00C77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01" w:rsidRDefault="00BE0C0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01" w:rsidRDefault="00BE0C0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01" w:rsidRDefault="00BE0C01">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582" w:rsidRDefault="00C77582">
      <w:pPr>
        <w:spacing w:after="0" w:line="240" w:lineRule="auto"/>
      </w:pPr>
      <w:r>
        <w:separator/>
      </w:r>
    </w:p>
  </w:footnote>
  <w:footnote w:type="continuationSeparator" w:id="0">
    <w:p w:rsidR="00C77582" w:rsidRDefault="00C775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01" w:rsidRDefault="00BE0C0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01" w:rsidRDefault="00BE0C0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C01" w:rsidRDefault="00BE0C01">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763">
      <w:rPr>
        <w:rFonts w:ascii="Arial" w:hAnsi="Arial" w:cs="Arial"/>
        <w:b/>
        <w:noProof/>
        <w:sz w:val="18"/>
        <w:szCs w:val="18"/>
      </w:rPr>
      <w:t>3</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E7763"/>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C01"/>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582"/>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0556CC0-4C4E-4EE6-8239-59C51BD73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897</Words>
  <Characters>5114</Characters>
  <Application>Microsoft Office Word</Application>
  <DocSecurity>0</DocSecurity>
  <Lines>42</Lines>
  <Paragraphs>11</Paragraphs>
  <ScaleCrop>false</ScaleCrop>
  <Company>Samsung Electronics</Company>
  <LinksUpToDate>false</LinksUpToDate>
  <CharactersWithSpaces>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188</cp:revision>
  <cp:lastPrinted>2017-05-08T10:55:00Z</cp:lastPrinted>
  <dcterms:created xsi:type="dcterms:W3CDTF">2020-02-06T06:43:00Z</dcterms:created>
  <dcterms:modified xsi:type="dcterms:W3CDTF">2021-04-01T18:48:00Z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